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6101" w:type="pct"/>
        <w:tblInd w:w="-998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bookmarkStart w:id="0" w:name="_GoBack" w:colFirst="1" w:colLast="1"/>
            <w:r w:rsidRPr="00502F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Vrijeme objave natječaja</w:t>
            </w:r>
          </w:p>
        </w:tc>
        <w:tc>
          <w:tcPr>
            <w:tcW w:w="391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hr-HR"/>
              </w:rPr>
              <w:t>Naziv natječaja</w:t>
            </w:r>
          </w:p>
        </w:tc>
      </w:tr>
      <w:bookmarkEnd w:id="0"/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Mjera 1 Prenošenje znanja i aktivnosti informiranja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Mjera 2 Savjetodavne službe, službe za upravljanje poljoprivrednim gospodarstvom i pomoć poljoprivrednim gospodarstvima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3.1.1. Potpora za sudjelovanje poljoprivrednika u sustavima kvalitete za poljoprivredne i prehrambene proizvode i u sustavu ekološke poljoprivredne proizvodnje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3.2.1. Potpora za troškove informiranja i promoviranja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5.2.1. Obnova poljoprivrednog zemljišta i proizvodnog potencijala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9.1.1. Uspostavljanje proizvođačkih grupa i organizacija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16.1.1. Potpora za osnivanje operativnih skupina (za 16.4.1.)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siječanj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4.3.1. Investicije u osnovnu infrastrukturu javnog navodnjavanja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16.1.2. Operativne skupine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4.4.1. Neproizvodna ulaganja vezana uz očuvanje okoliša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10.2. Očuvanje, održivo korištenje i razvoj genetskih resursa u poljoprivredi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4.1.3. Korištenje obnovljivih izvora energije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veljača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4.2.2. Korištenje obnovljivih izvora energije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ožujak – 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Mjeru 10 Poljoprivreda, okoliš i klimatske promjene (u sklopu podnošenja jedinstvenog zahtjeva za potporu za izravna plaćanja)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ožujak – 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Mjera 11 Ekološki uzgoj (u sklopu podnošenja jedinstvenog zahtjeva za potporu za izravna plaćanja)</w:t>
            </w:r>
          </w:p>
        </w:tc>
      </w:tr>
      <w:tr w:rsidR="00502FBD" w:rsidRPr="00502FBD" w:rsidTr="00502FBD">
        <w:trPr>
          <w:trHeight w:val="720"/>
        </w:trPr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ožujak – 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Mjera 13  Plaćanja područjima s prirodnim ograničenjima ili ostalim posebnim ograničenjima (u sklopu podnošenja jedinstvenog zahtjeva za potporu za izravna plaćanja)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ožujak – 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Mjera 14 Dobrobit životinja (u sklopu podnošenja jedinstvenog zahtjeva za potporu za izravna plaćanja)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17.1. Osiguranje usjeva, životinja i biljaka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4.1.1. Restrukturiranje, modernizacija i povećanje konkurentnosti poljoprivrednih gospodarstava (tovno govedarstvo)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4.1.2. Zbrinjavanje, rukovanje i korištenje stajskog gnoja u cilju smanjenja štetnog utjecaja na okoliš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4.2.1. Povećanje dodane vrijednosti poljoprivrednim proizvodima (mikro, mali i srednji)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6.4.1. Razvoj nepoljoprivrednih djelatnosti u ruralnim područjima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8.5.1. Konverzija degradiranih šumskih sastojina i šumskih kultura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8.5.2. Uspostava i uređenje poučnih staza, vidikovaca i ostale manje infrastrukture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 xml:space="preserve">8.6.3. Marketing drvnih i </w:t>
            </w:r>
            <w:proofErr w:type="spellStart"/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nedrvnih</w:t>
            </w:r>
            <w:proofErr w:type="spellEnd"/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 xml:space="preserve"> šumskih proizvoda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6.2.1. Potpora ulaganju u pokretanje nepoljoprivrednih djelatnosti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lipanj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16.4.1. Kratki lanci opskrbe i lokalna tržišta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4.3.4 Investicije u javnu infrastrukturu za skladištenje voća i povrća*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srpanj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4.3.5 Korištenje obnovljivih izvora energije za javnu infrastrukturu za skladištenje voća i povrća*</w:t>
            </w:r>
          </w:p>
        </w:tc>
      </w:tr>
      <w:tr w:rsidR="00502FBD" w:rsidRPr="00502FBD" w:rsidTr="00502FBD">
        <w:tc>
          <w:tcPr>
            <w:tcW w:w="1090" w:type="pct"/>
            <w:vAlign w:val="center"/>
            <w:hideMark/>
          </w:tcPr>
          <w:p w:rsidR="00502FBD" w:rsidRPr="00502FBD" w:rsidRDefault="00502FBD" w:rsidP="00502FBD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studeni</w:t>
            </w:r>
          </w:p>
        </w:tc>
        <w:tc>
          <w:tcPr>
            <w:tcW w:w="3910" w:type="pct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4.3.3. Ulaganje u šumsku infrastrukturu</w:t>
            </w:r>
          </w:p>
        </w:tc>
      </w:tr>
      <w:tr w:rsidR="00502FBD" w:rsidRPr="00502FBD" w:rsidTr="00502FBD">
        <w:tc>
          <w:tcPr>
            <w:tcW w:w="5000" w:type="pct"/>
            <w:gridSpan w:val="2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  <w:t>Natječaji za potpore u okviru LEADER pristupa objavljuju se na mrežnim stranicama lokalnih akcijskih grupa (LAG-ova)</w:t>
            </w:r>
          </w:p>
        </w:tc>
      </w:tr>
      <w:tr w:rsidR="00502FBD" w:rsidRPr="00502FBD" w:rsidTr="00502FBD">
        <w:tc>
          <w:tcPr>
            <w:tcW w:w="5000" w:type="pct"/>
            <w:gridSpan w:val="2"/>
            <w:hideMark/>
          </w:tcPr>
          <w:p w:rsidR="00502FBD" w:rsidRPr="00502FBD" w:rsidRDefault="00502FBD" w:rsidP="00502FBD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hr-HR"/>
              </w:rPr>
            </w:pPr>
            <w:r w:rsidRPr="00502FBD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hr-HR"/>
              </w:rPr>
              <w:t>* podložno promjenama nakon odobrenja Komisije</w:t>
            </w:r>
          </w:p>
        </w:tc>
      </w:tr>
    </w:tbl>
    <w:p w:rsidR="00A238BF" w:rsidRDefault="00A238BF"/>
    <w:sectPr w:rsidR="00A2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BD"/>
    <w:rsid w:val="00502FBD"/>
    <w:rsid w:val="00A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48D0-DFA4-46C4-B158-6D5FAAA3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02FBD"/>
    <w:rPr>
      <w:b/>
      <w:bCs/>
    </w:rPr>
  </w:style>
  <w:style w:type="character" w:styleId="Istaknuto">
    <w:name w:val="Emphasis"/>
    <w:basedOn w:val="Zadanifontodlomka"/>
    <w:uiPriority w:val="20"/>
    <w:qFormat/>
    <w:rsid w:val="00502FBD"/>
    <w:rPr>
      <w:i/>
      <w:iCs/>
    </w:rPr>
  </w:style>
  <w:style w:type="table" w:styleId="Reetkatablice">
    <w:name w:val="Table Grid"/>
    <w:basedOn w:val="Obinatablica"/>
    <w:uiPriority w:val="39"/>
    <w:rsid w:val="0050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</dc:creator>
  <cp:keywords/>
  <dc:description/>
  <cp:lastModifiedBy>GRAS</cp:lastModifiedBy>
  <cp:revision>1</cp:revision>
  <dcterms:created xsi:type="dcterms:W3CDTF">2019-07-03T10:42:00Z</dcterms:created>
  <dcterms:modified xsi:type="dcterms:W3CDTF">2019-07-03T10:44:00Z</dcterms:modified>
</cp:coreProperties>
</file>